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ascii="宋体" w:hAnsi="宋体" w:eastAsia="宋体" w:cs="宋体"/>
          <w:b/>
          <w:sz w:val="21"/>
          <w:szCs w:val="21"/>
        </w:rPr>
      </w:pPr>
      <w:r>
        <w:rPr>
          <w:rFonts w:hint="eastAsia"/>
        </w:rPr>
        <w:drawing>
          <wp:anchor distT="0" distB="0" distL="114300" distR="114300" simplePos="0" relativeHeight="251659264" behindDoc="0" locked="0" layoutInCell="1" allowOverlap="1">
            <wp:simplePos x="0" y="0"/>
            <wp:positionH relativeFrom="column">
              <wp:posOffset>2540</wp:posOffset>
            </wp:positionH>
            <wp:positionV relativeFrom="paragraph">
              <wp:posOffset>-751840</wp:posOffset>
            </wp:positionV>
            <wp:extent cx="937895" cy="374650"/>
            <wp:effectExtent l="0" t="0" r="14605" b="6350"/>
            <wp:wrapTopAndBottom/>
            <wp:docPr id="8" name="图片 8" descr="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小"/>
                    <pic:cNvPicPr>
                      <a:picLocks noChangeAspect="1"/>
                    </pic:cNvPicPr>
                  </pic:nvPicPr>
                  <pic:blipFill>
                    <a:blip r:embed="rId6"/>
                    <a:stretch>
                      <a:fillRect/>
                    </a:stretch>
                  </pic:blipFill>
                  <pic:spPr>
                    <a:xfrm>
                      <a:off x="0" y="0"/>
                      <a:ext cx="937895" cy="374650"/>
                    </a:xfrm>
                    <a:prstGeom prst="rect">
                      <a:avLst/>
                    </a:prstGeom>
                  </pic:spPr>
                </pic:pic>
              </a:graphicData>
            </a:graphic>
          </wp:anchor>
        </w:drawing>
      </w:r>
      <w:r>
        <w:rPr>
          <w:rFonts w:hint="eastAsia" w:ascii="宋体" w:hAnsi="宋体" w:cs="宋体"/>
          <w:sz w:val="44"/>
          <w:szCs w:val="44"/>
          <w:lang w:val="en-US" w:eastAsia="zh-CN"/>
        </w:rPr>
        <w:t>组织章程</w:t>
      </w:r>
    </w:p>
    <w:p>
      <w:pPr>
        <w:pageBreakBefore w:val="0"/>
        <w:widowControl w:val="0"/>
        <w:kinsoku/>
        <w:wordWrap/>
        <w:overflowPunct/>
        <w:topLinePunct w:val="0"/>
        <w:autoSpaceDE/>
        <w:autoSpaceDN/>
        <w:bidi w:val="0"/>
        <w:adjustRightInd/>
        <w:snapToGrid/>
        <w:spacing w:line="440" w:lineRule="exact"/>
        <w:textAlignment w:val="auto"/>
        <w:rPr>
          <w:rFonts w:hint="eastAsia"/>
          <w:b/>
          <w:bCs/>
          <w:lang w:val="en-US" w:eastAsia="zh-CN"/>
        </w:rPr>
      </w:pPr>
      <w:r>
        <w:rPr>
          <w:rFonts w:hint="eastAsia"/>
          <w:b/>
          <w:bCs/>
          <w:lang w:val="en-US" w:eastAsia="zh-CN"/>
        </w:rPr>
        <w:t>1.总则：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 xml:space="preserve">1.1.宗旨 </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根据国家卫健委、中国医院协会颁布的《涉及人的临床研究伦理审查委员会建设指南》，世界医学会制定的《赫尔辛基宣言》和国际医学科学理事会制定的《涉及人的健康相关研究国际伦理指南》等国际国内通用伦理准则，特成立“广州皇家丽肿瘤医院医学伦理委员会”，按照我国相关的法律法规及规定要求，对医院生物医学研究、公共卫生领域及新药、新技术在临床研究的项目，进行科学性、伦理合理性的审查，确保受试者的尊严、安全和权益，促进生物医学研究达到科学和伦理的高标准。</w:t>
      </w:r>
    </w:p>
    <w:p>
      <w:pPr>
        <w:pageBreakBefore w:val="0"/>
        <w:widowControl w:val="0"/>
        <w:kinsoku/>
        <w:wordWrap/>
        <w:overflowPunct/>
        <w:topLinePunct w:val="0"/>
        <w:autoSpaceDE/>
        <w:autoSpaceDN/>
        <w:bidi w:val="0"/>
        <w:adjustRightInd/>
        <w:snapToGrid/>
        <w:spacing w:line="440" w:lineRule="exact"/>
        <w:textAlignment w:val="auto"/>
        <w:rPr>
          <w:rFonts w:hint="eastAsia" w:cs="Times New Roman"/>
          <w:b/>
          <w:bCs/>
          <w:lang w:val="en-US" w:eastAsia="zh-CN"/>
        </w:rPr>
      </w:pPr>
      <w:r>
        <w:rPr>
          <w:rFonts w:hint="eastAsia" w:cs="Times New Roman"/>
          <w:b/>
          <w:bCs/>
          <w:lang w:val="en-US" w:eastAsia="zh-CN"/>
        </w:rPr>
        <w:t>2.组织、职责及权力：</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2.1.组织机构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伦理委员会委员组成包括医药专做</w:t>
      </w:r>
      <w:bookmarkStart w:id="0" w:name="_GoBack"/>
      <w:bookmarkEnd w:id="0"/>
      <w:r>
        <w:rPr>
          <w:rFonts w:hint="eastAsia"/>
          <w:lang w:val="en-US" w:eastAsia="zh-CN"/>
        </w:rPr>
        <w:t>业人员、法律人员、非本单位社会人士。医学伦理委员会设伦理委员会办公室秘书1名。</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s="Times New Roman"/>
          <w:lang w:val="en-US" w:eastAsia="zh-CN"/>
        </w:rPr>
      </w:pPr>
      <w:r>
        <w:rPr>
          <w:rFonts w:hint="eastAsia" w:cs="Times New Roman"/>
          <w:lang w:val="en-US" w:eastAsia="zh-CN"/>
        </w:rPr>
        <w:t>2.2.委员的职责</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2.2.1.保护受试者合法权益，维护受试者尊严，促进生物医学研究规范开展。</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2.2.2对本机构开展涉及人的生物医学研究项目的科学性和伦理合理性进行独立、称职和及时的审查，包括初始审查、跟踪审查和复审。</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2.2.3审查范围包括药物临床试验项目、医疗器械临床试验项目、涉及人的临床科研项目（包括临床流行病学研究、利用人的医疗记录和个人信息的研究、利用人的生物标本的研究等）。</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2.2.4医学伦理委员会办公室负责伦理委员会日常行政事务的管理工作。</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cs="Times New Roman"/>
          <w:lang w:val="en-US" w:eastAsia="zh-CN"/>
        </w:rPr>
        <w:t>2.3.权力：</w:t>
      </w:r>
      <w:r>
        <w:rPr>
          <w:rFonts w:hint="eastAsia"/>
          <w:lang w:val="en-US" w:eastAsia="zh-CN"/>
        </w:rPr>
        <w:t>医学伦理委员会的运行必须独立于申办者、研究者，并避免任何不当的影响。伦理委员会有权批准／不批准广州皇家丽肿瘤医院的临床研究，对已批准的临床研究项目实行跟踪审查、终止或暂停试验。</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2.4.行政资源：医院为伦理委员会提供独立的办公室，必要的办公条件，有可利用的档案室和会议室，以满足其职能的需求。医院任命足够数量的伦理委员会秘书与工作人员，以满足伦理委员会高质量工作的需求。医院为委员、独立顾问、秘书与工作人员提供充分的培训，使其能够胜任工作。</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s="Times New Roman"/>
          <w:lang w:val="en-US" w:eastAsia="zh-CN"/>
        </w:rPr>
      </w:pPr>
      <w:r>
        <w:rPr>
          <w:rFonts w:hint="eastAsia" w:cs="Times New Roman"/>
          <w:lang w:val="en-US" w:eastAsia="zh-CN"/>
        </w:rPr>
        <w:t>2.5.财政资源：伦理委员会的行政经费列入医院财政预算。经费使用按照医院财务管理规定执行。</w:t>
      </w:r>
    </w:p>
    <w:p>
      <w:pPr>
        <w:pageBreakBefore w:val="0"/>
        <w:widowControl w:val="0"/>
        <w:kinsoku/>
        <w:wordWrap/>
        <w:overflowPunct/>
        <w:topLinePunct w:val="0"/>
        <w:autoSpaceDE/>
        <w:autoSpaceDN/>
        <w:bidi w:val="0"/>
        <w:adjustRightInd/>
        <w:snapToGrid/>
        <w:spacing w:line="440" w:lineRule="exact"/>
        <w:textAlignment w:val="auto"/>
        <w:rPr>
          <w:rFonts w:hint="eastAsia" w:cs="Times New Roman"/>
          <w:b/>
          <w:bCs/>
          <w:lang w:val="en-US" w:eastAsia="zh-CN"/>
        </w:rPr>
      </w:pPr>
      <w:r>
        <w:rPr>
          <w:rFonts w:hint="eastAsia" w:cs="Times New Roman"/>
          <w:b/>
          <w:bCs/>
          <w:lang w:val="en-US" w:eastAsia="zh-CN"/>
        </w:rPr>
        <w:t>3.任期及选举：</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cs="Times New Roman"/>
          <w:lang w:val="en-US" w:eastAsia="zh-CN"/>
        </w:rPr>
        <w:t>3.1.委员组成：伦理委员会委员的组成和数量应与所审查项目的专业类别和数量相符。研究</w:t>
      </w:r>
      <w:r>
        <w:rPr>
          <w:rFonts w:hint="eastAsia"/>
          <w:lang w:val="en-US" w:eastAsia="zh-CN"/>
        </w:rPr>
        <w:t>伦理委员会的委员类别包括医药专业、非医药专业、与研究项目的组织者和研究机构（医药）不存在行政隶属关系的外单位的人员、法律专家，并有不同性别的委员。</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3.2.委员的招募/推荐：伦理委员会采用公开招聘的方式，结合有关各方的推荐并征询本人意见，形成委员候选人名单。应聘者应能保证参加培训，保证有足够的时间和精力参加审查工作。</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cs="Times New Roman"/>
          <w:lang w:val="en-US" w:eastAsia="zh-CN"/>
        </w:rPr>
        <w:t>3.3.委员任命的机构与程序：医院办公会负责伦理委员会委员的任命事项。伦理委员会委员候选人员名单提交院长办公会审查讨论，当选委员的同意票应超过法定人数的半数，伦理委员会组成人员以医院正式文件的方式任命，任命文件递交政府相关管理部门备案。接受任命的伦理委员会委员应参加GCP、研究伦理审查以及临床研究方法学方面的初始培训和继续教育；提交本人简历、资质证明文件，GCP或相关伦理审查专业培训证书；同意并签署利益冲突声明，保密承</w:t>
      </w:r>
      <w:r>
        <w:rPr>
          <w:rFonts w:hint="eastAsia"/>
          <w:lang w:val="en-US" w:eastAsia="zh-CN"/>
        </w:rPr>
        <w:t>诺，并同意公开自己的姓名、职业和隶属机构。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3.4任期：伦理委员会每届任期5年。</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3.5换届：换届候选委员采用有关各方和委员推荐的方式产生，医院办公会任命。应有部分委员留任，以保证伦理委员会工作的连续性。</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3.6免职：以下情况可免去委员资格：本人书面申请辞去委员职务者；因各种原因缺席半数以上伦理审查会议者；因健康或工作调离等原因，不能继续履行委员职责者；因道德行为规范与委员职责相违背（如与审查项目存在利益冲突而不主动声明），不适宜继续担任委员者。</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3.7替换：因委员辞职或免职，可以启动委员替换程序。根据资质、专业相当的原则招募/推荐候选替补委员；替补委员由院长办公会讨论决定，同意票应超过法定人数的半数。当选的替补委员以医院正式文件的方式任命。</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3.8独立顾问：如果委员专业知识不能胜任某临床研究项目的审查，或某临床研究项目的受试者与委员的社会与文化背景明显不同时，可以聘请独立顾问。独立顾问应提交本人简历、资质证明文件，签署保密承诺与利益冲突声明。独立顾问应邀对临床研究项目的某方面问题提供咨询意见，但不具有表决权。</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s="Times New Roman"/>
          <w:lang w:val="en-US" w:eastAsia="zh-CN"/>
        </w:rPr>
      </w:pPr>
      <w:r>
        <w:rPr>
          <w:rFonts w:hint="eastAsia" w:cs="Times New Roman"/>
          <w:lang w:val="en-US" w:eastAsia="zh-CN"/>
        </w:rPr>
        <w:t>3.9办公室人员：伦理委员会办公室设秘书1名。</w:t>
      </w:r>
    </w:p>
    <w:p>
      <w:pPr>
        <w:pageBreakBefore w:val="0"/>
        <w:widowControl w:val="0"/>
        <w:kinsoku/>
        <w:wordWrap/>
        <w:overflowPunct/>
        <w:topLinePunct w:val="0"/>
        <w:autoSpaceDE/>
        <w:autoSpaceDN/>
        <w:bidi w:val="0"/>
        <w:adjustRightInd/>
        <w:snapToGrid/>
        <w:spacing w:line="440" w:lineRule="exact"/>
        <w:textAlignment w:val="auto"/>
        <w:rPr>
          <w:rFonts w:hint="eastAsia" w:cs="Times New Roman"/>
          <w:b/>
          <w:bCs/>
          <w:lang w:val="en-US" w:eastAsia="zh-CN"/>
        </w:rPr>
      </w:pPr>
      <w:r>
        <w:rPr>
          <w:rFonts w:hint="eastAsia" w:cs="Times New Roman"/>
          <w:b/>
          <w:bCs/>
          <w:lang w:val="en-US" w:eastAsia="zh-CN"/>
        </w:rPr>
        <w:t>4.评审内容及程序：</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cs="Times New Roman"/>
          <w:lang w:val="en-US" w:eastAsia="zh-CN"/>
        </w:rPr>
        <w:t>4.1</w:t>
      </w:r>
      <w:r>
        <w:rPr>
          <w:rFonts w:hint="default" w:cs="Times New Roman"/>
          <w:lang w:val="en-US" w:eastAsia="zh-CN"/>
        </w:rPr>
        <w:t>申请伦理审</w:t>
      </w:r>
      <w:r>
        <w:rPr>
          <w:rFonts w:hint="default"/>
          <w:lang w:val="en-US" w:eastAsia="zh-CN"/>
        </w:rPr>
        <w:t>查的文件应包括：签名并注明日期的申请表；</w:t>
      </w:r>
      <w:r>
        <w:rPr>
          <w:rFonts w:hint="eastAsia"/>
          <w:lang w:val="en-US" w:eastAsia="zh-CN"/>
        </w:rPr>
        <w:t>完整的</w:t>
      </w:r>
      <w:r>
        <w:rPr>
          <w:rFonts w:hint="default"/>
          <w:lang w:val="en-US" w:eastAsia="zh-CN"/>
        </w:rPr>
        <w:t>研究方案及支持性文件；知情同意文件</w:t>
      </w:r>
      <w:r>
        <w:rPr>
          <w:rFonts w:hint="eastAsia"/>
          <w:lang w:val="en-US" w:eastAsia="zh-CN"/>
        </w:rPr>
        <w:t>；</w:t>
      </w:r>
      <w:r>
        <w:rPr>
          <w:rFonts w:hint="default"/>
          <w:lang w:val="en-US" w:eastAsia="zh-CN"/>
        </w:rPr>
        <w:t>项目科学性审查通过文件</w:t>
      </w:r>
      <w:r>
        <w:rPr>
          <w:rFonts w:hint="eastAsia"/>
          <w:lang w:val="en-US" w:eastAsia="zh-CN"/>
        </w:rPr>
        <w:t>；研究者手册（如有）；国家相关规定所要求的其他文件；</w:t>
      </w:r>
      <w:r>
        <w:rPr>
          <w:rFonts w:hint="default"/>
          <w:lang w:val="en-US" w:eastAsia="zh-CN"/>
        </w:rPr>
        <w:t>其他相关文件。</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4.2 受理：医学伦理委员会应在接收医学伦理审查申请后的5个工作日内决定是否受理该申请。对不符合受理条件的，医学伦理委员会不予受理并说明理由。决定受理后，医学伦理委员会通知申请人缴纳相关费用，并在30日内组织医学伦理委员会相关专家组进行审查。医学伦理审查组专家可以向申请人要求提交特殊资料，但应通过医学伦理委员会办公室联络，严禁医学伦理审查组专家与申请人私自联系。</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4.3 审查方式：伦理委员会的审查方式有会议审查，紧急会议审查，快速审查。实行主审制，为每个审查项目安排主审委员，填写审查工作表。会议审查是伦理委员会主要的审查工作方式，定期召开审查会议。研究过程中出现重大或严重问题，危及受试者安全，应召开紧急会议审查。快速审查是会议审查的补充形式，主要适用于不大于最小风险的研究项目。</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lang w:val="en-US" w:eastAsia="zh-CN"/>
        </w:rPr>
        <w:t>4.4 法定人数：到会委员人数应超过半数成员，并不少于6人；</w:t>
      </w:r>
      <w:r>
        <w:rPr>
          <w:rFonts w:hint="eastAsia"/>
        </w:rPr>
        <w:t>必须有医药和非医药专家委员、独立于研究实施机构之外的委员、律师以及不同性别的委员。</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4.5 审查决定：送审文件齐全，申请人、独立顾问以及与研究项目存在利益冲突的委员离场，投票委员符合法定人数，按审查要素和审查要点进行充分的审查讨论后，以投票的方式做出决定；没有参与会议讨论的委员不能投票。研究伦理审查以超过投票委员半数票的意见作为审查决定。摘取活体器官的审查决定需全体委员参加的专门会议一致同意。会后及时（5-10个工作日）传达审查决定或意见。研究者、或研究利益相关方对伦理委员会的审查决定有不同意见，可以提交复审，与伦理委员会委员和办公室沟通交流，或向医疗质量管理部门申诉。</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4.6 利益冲突管理：遵循利益冲突政策，与研究项目存在利益冲突的委员/独立顾问应主动声明并退出该项目审查的讨论和决定程序。伦理委员会应审查研究人员与研究项目之间的利益冲突，必要时采取限制性措施。</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4.7 保密：伦理委员会委员/独立顾问对送审项目的文件负有保密责任和义务，审查完成后，及时交回所有送审文件与审查材料，不得私自复制与外传。</w:t>
      </w:r>
    </w:p>
    <w:p>
      <w:pPr>
        <w:pageBreakBefore w:val="0"/>
        <w:widowControl w:val="0"/>
        <w:kinsoku/>
        <w:wordWrap/>
        <w:overflowPunct/>
        <w:topLinePunct w:val="0"/>
        <w:autoSpaceDE/>
        <w:autoSpaceDN/>
        <w:bidi w:val="0"/>
        <w:adjustRightInd/>
        <w:snapToGrid/>
        <w:spacing w:line="440" w:lineRule="exact"/>
        <w:textAlignment w:val="auto"/>
        <w:rPr>
          <w:rFonts w:hint="eastAsia"/>
          <w:b/>
          <w:bCs/>
          <w:lang w:val="en-US" w:eastAsia="zh-CN"/>
        </w:rPr>
      </w:pPr>
      <w:r>
        <w:rPr>
          <w:rFonts w:hint="eastAsia"/>
          <w:b/>
          <w:bCs/>
          <w:lang w:val="en-US" w:eastAsia="zh-CN"/>
        </w:rPr>
        <w:t>5.文件及档案：</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5.1 伦理委员会对医学伦理相关文件及档案进行规范化管理，由委员会秘书专人负贵。</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5.1.1伦理委员会工作制度，操作规程，审查程序，伦理委员会工作人员职责；</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5.1.2伦理委员会成员任命文件，伦理委员会委员声明，保密承诺，利益冲突声明，伦理委员会成员专业履历，独立顾问聘请书，伦理委员会成员通讯录；</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5.1.3申请者提交的伦理审查申请材料，伦理委员会审查受理通知书，会议日程，伦理委员会会议签到表，投票单，会议记录，伦理委员会审查批件。</w:t>
      </w:r>
    </w:p>
    <w:p>
      <w:pPr>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lang w:val="en-US" w:eastAsia="zh-CN"/>
        </w:rPr>
      </w:pPr>
      <w:r>
        <w:rPr>
          <w:rFonts w:hint="eastAsia"/>
          <w:lang w:val="en-US" w:eastAsia="zh-CN"/>
        </w:rPr>
        <w:t>5.1.4伦理委员会成员与申请者或有关人员就申请、决定和跟踪审查问题的往来信件。跟踪审查期间收入到的所有书面材料。研究暂停或提前终止的通知。</w:t>
      </w:r>
    </w:p>
    <w:p>
      <w:pPr>
        <w:pageBreakBefore w:val="0"/>
        <w:widowControl w:val="0"/>
        <w:kinsoku/>
        <w:wordWrap/>
        <w:overflowPunct/>
        <w:topLinePunct w:val="0"/>
        <w:autoSpaceDE/>
        <w:autoSpaceDN/>
        <w:bidi w:val="0"/>
        <w:adjustRightInd/>
        <w:snapToGrid/>
        <w:spacing w:line="440" w:lineRule="exact"/>
        <w:textAlignment w:val="auto"/>
        <w:rPr>
          <w:b/>
          <w:bCs/>
          <w:lang w:eastAsia="zh-CN"/>
        </w:rPr>
      </w:pPr>
      <w:r>
        <w:rPr>
          <w:rFonts w:hint="eastAsia"/>
          <w:b/>
          <w:bCs/>
          <w:lang w:val="en-US" w:eastAsia="zh-CN"/>
        </w:rPr>
        <w:t>6.附则</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6.1.本章程由医院医学伦理委员会负责解释。</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6.2.本章程自下发之日起执行。</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sz w:val="21"/>
          <w:szCs w:val="21"/>
        </w:rPr>
      </w:pPr>
    </w:p>
    <w:sectPr>
      <w:headerReference r:id="rId3" w:type="default"/>
      <w:footerReference r:id="rId4" w:type="default"/>
      <w:pgSz w:w="11906" w:h="16838"/>
      <w:pgMar w:top="1440" w:right="1803" w:bottom="1440" w:left="1803"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Calibri" w:hAnsi="Calibri" w:cs="Calibri"/>
        <w:sz w:val="24"/>
      </w:rPr>
    </w:pPr>
    <w:r>
      <w:rPr>
        <w:rFonts w:ascii="Calibri" w:hAnsi="Calibri" w:cs="Calibri"/>
        <w:sz w:val="24"/>
        <w:lang w:val="zh-CN"/>
      </w:rPr>
      <w:t xml:space="preserve"> </w:t>
    </w:r>
    <w:r>
      <w:rPr>
        <w:rFonts w:ascii="Calibri" w:hAnsi="Calibri" w:cs="Calibri"/>
        <w:b/>
        <w:sz w:val="24"/>
      </w:rPr>
      <w:fldChar w:fldCharType="begin"/>
    </w:r>
    <w:r>
      <w:rPr>
        <w:rFonts w:ascii="Calibri" w:hAnsi="Calibri" w:cs="Calibri"/>
        <w:b/>
        <w:sz w:val="24"/>
      </w:rPr>
      <w:instrText xml:space="preserve">PAGE</w:instrText>
    </w:r>
    <w:r>
      <w:rPr>
        <w:rFonts w:ascii="Calibri" w:hAnsi="Calibri" w:cs="Calibri"/>
        <w:b/>
        <w:sz w:val="24"/>
      </w:rPr>
      <w:fldChar w:fldCharType="separate"/>
    </w:r>
    <w:r>
      <w:rPr>
        <w:rFonts w:ascii="Calibri" w:hAnsi="Calibri" w:cs="Calibri"/>
        <w:b/>
        <w:sz w:val="24"/>
      </w:rPr>
      <w:t>1</w:t>
    </w:r>
    <w:r>
      <w:rPr>
        <w:rFonts w:ascii="Calibri" w:hAnsi="Calibri" w:cs="Calibri"/>
        <w:b/>
        <w:sz w:val="24"/>
      </w:rPr>
      <w:fldChar w:fldCharType="end"/>
    </w:r>
    <w:r>
      <w:rPr>
        <w:rFonts w:ascii="Calibri" w:hAnsi="Calibri" w:cs="Calibri"/>
        <w:sz w:val="24"/>
        <w:lang w:val="zh-CN"/>
      </w:rPr>
      <w:t xml:space="preserve"> / </w:t>
    </w:r>
    <w:r>
      <w:rPr>
        <w:rFonts w:ascii="Calibri" w:hAnsi="Calibri" w:cs="Calibri"/>
        <w:b/>
        <w:sz w:val="24"/>
      </w:rPr>
      <w:fldChar w:fldCharType="begin"/>
    </w:r>
    <w:r>
      <w:rPr>
        <w:rFonts w:ascii="Calibri" w:hAnsi="Calibri" w:cs="Calibri"/>
        <w:b/>
        <w:sz w:val="24"/>
      </w:rPr>
      <w:instrText xml:space="preserve">NUMPAGES</w:instrText>
    </w:r>
    <w:r>
      <w:rPr>
        <w:rFonts w:ascii="Calibri" w:hAnsi="Calibri" w:cs="Calibri"/>
        <w:b/>
        <w:sz w:val="24"/>
      </w:rPr>
      <w:fldChar w:fldCharType="separate"/>
    </w:r>
    <w:r>
      <w:rPr>
        <w:rFonts w:ascii="Calibri" w:hAnsi="Calibri" w:cs="Calibri"/>
        <w:b/>
        <w:sz w:val="24"/>
      </w:rPr>
      <w:t>2</w:t>
    </w:r>
    <w:r>
      <w:rPr>
        <w:rFonts w:ascii="Calibri" w:hAnsi="Calibri" w:cs="Calibri"/>
        <w:b/>
        <w:sz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hint="default" w:ascii="宋体" w:hAnsi="宋体" w:eastAsia="宋体"/>
        <w:lang w:val="en-US" w:eastAsia="zh-CN"/>
      </w:rPr>
    </w:pPr>
    <w:r>
      <w:rPr>
        <w:rFonts w:hint="eastAsia" w:ascii="宋体" w:hAnsi="宋体" w:eastAsia="宋体"/>
        <w:sz w:val="21"/>
        <w:szCs w:val="21"/>
        <w:lang w:val="en-US" w:eastAsia="zh-CN"/>
      </w:rPr>
      <w:t>广州皇家丽肿瘤</w:t>
    </w:r>
    <w:r>
      <w:rPr>
        <w:rFonts w:ascii="宋体" w:hAnsi="宋体" w:eastAsia="宋体"/>
        <w:sz w:val="21"/>
        <w:szCs w:val="21"/>
      </w:rPr>
      <w:t>医院</w:t>
    </w:r>
    <w:r>
      <w:rPr>
        <w:rFonts w:hint="eastAsia" w:ascii="宋体" w:hAnsi="宋体" w:eastAsia="宋体"/>
        <w:bCs/>
        <w:sz w:val="21"/>
        <w:szCs w:val="21"/>
        <w:lang w:val="en-US" w:eastAsia="zh-CN"/>
      </w:rPr>
      <w:t>医学伦理委员会</w:t>
    </w:r>
    <w:r>
      <w:rPr>
        <w:rFonts w:ascii="宋体" w:hAnsi="宋体" w:eastAsia="宋体"/>
      </w:rPr>
      <w:t xml:space="preserve">         </w:t>
    </w:r>
    <w:r>
      <w:rPr>
        <w:rFonts w:hint="eastAsia" w:ascii="宋体" w:hAnsi="宋体" w:eastAsia="宋体"/>
        <w:lang w:val="en-US" w:eastAsia="zh-CN"/>
      </w:rPr>
      <w:t xml:space="preserve">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cs="宋体"/>
        <w:color w:val="000000"/>
        <w:sz w:val="21"/>
        <w:szCs w:val="21"/>
        <w:lang w:val="en-US" w:eastAsia="zh-CN"/>
      </w:rPr>
      <w:t>P-LL-2021-001-01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2M2VlMTY0NGM3NGU2NzQ3ZTcwZmYzZmUyODA2ZWQifQ=="/>
  </w:docVars>
  <w:rsids>
    <w:rsidRoot w:val="3C324A1F"/>
    <w:rsid w:val="001A3F0A"/>
    <w:rsid w:val="002F7430"/>
    <w:rsid w:val="003C6CC8"/>
    <w:rsid w:val="0060611D"/>
    <w:rsid w:val="00663B13"/>
    <w:rsid w:val="00A83A76"/>
    <w:rsid w:val="00B05CE5"/>
    <w:rsid w:val="00BA3975"/>
    <w:rsid w:val="00BC2C91"/>
    <w:rsid w:val="00D00A84"/>
    <w:rsid w:val="00DC5DB3"/>
    <w:rsid w:val="00E11932"/>
    <w:rsid w:val="00E67F90"/>
    <w:rsid w:val="00FB2AD0"/>
    <w:rsid w:val="02807E2B"/>
    <w:rsid w:val="055205B6"/>
    <w:rsid w:val="07DE0E91"/>
    <w:rsid w:val="08460703"/>
    <w:rsid w:val="0AD22B6B"/>
    <w:rsid w:val="0C965072"/>
    <w:rsid w:val="0D1970C0"/>
    <w:rsid w:val="0DF84342"/>
    <w:rsid w:val="0E323D1A"/>
    <w:rsid w:val="12D7217F"/>
    <w:rsid w:val="13417467"/>
    <w:rsid w:val="13A771E3"/>
    <w:rsid w:val="14E07329"/>
    <w:rsid w:val="15016479"/>
    <w:rsid w:val="182053BE"/>
    <w:rsid w:val="1AC05B0C"/>
    <w:rsid w:val="1EB16454"/>
    <w:rsid w:val="1F7C161D"/>
    <w:rsid w:val="201218A4"/>
    <w:rsid w:val="223F5C78"/>
    <w:rsid w:val="229F4B53"/>
    <w:rsid w:val="278C3033"/>
    <w:rsid w:val="28FD5F30"/>
    <w:rsid w:val="2B8C6D86"/>
    <w:rsid w:val="305C76B1"/>
    <w:rsid w:val="375D1A76"/>
    <w:rsid w:val="390B7187"/>
    <w:rsid w:val="3C324A1F"/>
    <w:rsid w:val="3C8300E3"/>
    <w:rsid w:val="3D4804DE"/>
    <w:rsid w:val="405A7D83"/>
    <w:rsid w:val="41F31E8B"/>
    <w:rsid w:val="428E1247"/>
    <w:rsid w:val="42A344EF"/>
    <w:rsid w:val="454040EF"/>
    <w:rsid w:val="4B633759"/>
    <w:rsid w:val="4BCE2513"/>
    <w:rsid w:val="50C864D2"/>
    <w:rsid w:val="5109029B"/>
    <w:rsid w:val="566D395F"/>
    <w:rsid w:val="5D9A20FF"/>
    <w:rsid w:val="5F161C04"/>
    <w:rsid w:val="5F23576F"/>
    <w:rsid w:val="626C2BE0"/>
    <w:rsid w:val="627F2385"/>
    <w:rsid w:val="62A56DE9"/>
    <w:rsid w:val="659735A5"/>
    <w:rsid w:val="689B2619"/>
    <w:rsid w:val="6B890C9C"/>
    <w:rsid w:val="6CB1120B"/>
    <w:rsid w:val="6F3B48F7"/>
    <w:rsid w:val="711628D2"/>
    <w:rsid w:val="71F61B07"/>
    <w:rsid w:val="762F1D46"/>
    <w:rsid w:val="77606E25"/>
    <w:rsid w:val="789640B0"/>
    <w:rsid w:val="78B43C2F"/>
    <w:rsid w:val="7A5D3D6A"/>
    <w:rsid w:val="7A9B65EA"/>
    <w:rsid w:val="7B5257AC"/>
    <w:rsid w:val="7C454A2A"/>
    <w:rsid w:val="7DA5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jc w:val="center"/>
      <w:outlineLvl w:val="1"/>
    </w:pPr>
    <w:rPr>
      <w:rFonts w:ascii="Arial" w:hAnsi="Arial" w:eastAsia="宋体"/>
      <w:b/>
      <w:sz w:val="32"/>
    </w:rPr>
  </w:style>
  <w:style w:type="paragraph" w:styleId="3">
    <w:name w:val="heading 3"/>
    <w:basedOn w:val="1"/>
    <w:next w:val="1"/>
    <w:unhideWhenUsed/>
    <w:qFormat/>
    <w:uiPriority w:val="0"/>
    <w:pPr>
      <w:keepNext/>
      <w:keepLines/>
      <w:spacing w:before="50" w:beforeLines="50" w:after="50" w:afterLines="50" w:line="360" w:lineRule="auto"/>
      <w:jc w:val="center"/>
      <w:outlineLvl w:val="2"/>
    </w:pPr>
    <w:rPr>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jc w:val="center"/>
      <w:outlineLvl w:val="0"/>
    </w:pPr>
    <w:rPr>
      <w:rFonts w:ascii="Calibri Light" w:hAnsi="Calibri Light"/>
      <w:b/>
      <w:bCs/>
      <w:sz w:val="28"/>
      <w:szCs w:val="32"/>
    </w:rPr>
  </w:style>
  <w:style w:type="paragraph" w:customStyle="1" w:styleId="9">
    <w:name w:val="段落 3"/>
    <w:basedOn w:val="3"/>
    <w:qFormat/>
    <w:uiPriority w:val="0"/>
    <w:pPr>
      <w:spacing w:before="156" w:after="156"/>
    </w:pPr>
    <w:rPr>
      <w:rFonts w:eastAsia="宋体" w:cs="宋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4</Pages>
  <Words>2850</Words>
  <Characters>2958</Characters>
  <Lines>4</Lines>
  <Paragraphs>1</Paragraphs>
  <TotalTime>12</TotalTime>
  <ScaleCrop>false</ScaleCrop>
  <LinksUpToDate>false</LinksUpToDate>
  <CharactersWithSpaces>2966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2017-04-01T03:12:00Z</dcterms:created>
  <dc:creator>Administrator</dc:creator>
  <cp:lastModifiedBy>胡喆谦Jason</cp:lastModifiedBy>
  <dcterms:modified xsi:type="dcterms:W3CDTF">2022-06-08T07:46:17Z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84F893E4E88D49A9B0F7961FB964D439</vt:lpwstr>
  </property>
</Properties>
</file>